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olor w:val="auto"/>
          <w:sz w:val="26"/>
          <w:szCs w:val="26"/>
          <w:lang w:val="zxx" w:eastAsia="zxx" w:bidi="zxx"/>
        </w:rPr>
      </w:pPr>
      <w:r>
        <w:rPr>
          <w:rFonts w:ascii="Times New Roman" w:hAnsi="Times New Roman"/>
          <w:color w:val="auto"/>
          <w:sz w:val="26"/>
          <w:szCs w:val="26"/>
          <w:lang w:val="zxx" w:eastAsia="zxx" w:bidi="zxx"/>
        </w:rPr>
      </w:r>
    </w:p>
    <w:p>
      <w:pPr>
        <w:pStyle w:val="Normal"/>
        <w:rPr>
          <w:rFonts w:ascii="Times New Roman" w:hAnsi="Times New Roman"/>
          <w:b/>
          <w:b/>
          <w:bCs/>
          <w:color w:val="auto"/>
          <w:sz w:val="26"/>
          <w:szCs w:val="26"/>
          <w:lang w:val="zxx" w:eastAsia="zxx" w:bidi="zxx"/>
        </w:rPr>
      </w:pPr>
      <w:r>
        <w:rPr>
          <w:rFonts w:ascii="Times New Roman" w:hAnsi="Times New Roman"/>
          <w:b/>
          <w:bCs/>
          <w:color w:val="auto"/>
          <w:sz w:val="26"/>
          <w:szCs w:val="26"/>
          <w:lang w:val="zxx" w:eastAsia="zxx" w:bidi="zxx"/>
        </w:rPr>
        <w:t xml:space="preserve">ANEXA Nr. 1 (Anexa la anexa nr. 1 la normele metodologice) </w:t>
      </w:r>
    </w:p>
    <w:p>
      <w:pPr>
        <w:pStyle w:val="Normal"/>
        <w:rPr>
          <w:rFonts w:ascii="Times New Roman" w:hAnsi="Times New Roman"/>
          <w:b/>
          <w:b/>
          <w:bCs/>
          <w:color w:val="auto"/>
          <w:sz w:val="26"/>
          <w:szCs w:val="26"/>
          <w:lang w:val="zxx" w:eastAsia="zxx" w:bidi="zxx"/>
        </w:rPr>
      </w:pPr>
      <w:r>
        <w:rPr>
          <w:rFonts w:ascii="Times New Roman" w:hAnsi="Times New Roman"/>
          <w:b/>
          <w:bCs/>
          <w:color w:val="auto"/>
          <w:sz w:val="26"/>
          <w:szCs w:val="26"/>
          <w:lang w:val="zxx" w:eastAsia="zxx" w:bidi="zxx"/>
        </w:rPr>
      </w:r>
    </w:p>
    <w:p>
      <w:pPr>
        <w:pStyle w:val="Normal"/>
        <w:rPr>
          <w:rFonts w:ascii="Times New Roman" w:hAnsi="Times New Roman"/>
          <w:b/>
          <w:b/>
          <w:bCs/>
          <w:color w:val="auto"/>
          <w:sz w:val="26"/>
          <w:szCs w:val="26"/>
          <w:lang w:val="zxx" w:eastAsia="zxx" w:bidi="zxx"/>
        </w:rPr>
      </w:pPr>
      <w:r>
        <w:rPr>
          <w:rFonts w:ascii="Times New Roman" w:hAnsi="Times New Roman"/>
          <w:b/>
          <w:bCs/>
          <w:color w:val="auto"/>
          <w:sz w:val="26"/>
          <w:szCs w:val="26"/>
          <w:lang w:val="zxx" w:eastAsia="zxx" w:bidi="zxx"/>
        </w:rPr>
        <w:t xml:space="preserve">ANEXA — PERIOADE ASIMILATE </w:t>
      </w:r>
    </w:p>
    <w:p>
      <w:pPr>
        <w:pStyle w:val="Normal"/>
        <w:rPr>
          <w:rFonts w:ascii="Times New Roman" w:hAnsi="Times New Roman"/>
          <w:color w:val="auto"/>
          <w:sz w:val="26"/>
          <w:szCs w:val="26"/>
          <w:lang w:val="zxx" w:eastAsia="zxx" w:bidi="zxx"/>
        </w:rPr>
      </w:pPr>
      <w:r>
        <w:rPr>
          <w:rFonts w:ascii="Times New Roman" w:hAnsi="Times New Roman"/>
          <w:color w:val="auto"/>
          <w:sz w:val="26"/>
          <w:szCs w:val="26"/>
          <w:lang w:val="zxx" w:eastAsia="zxx" w:bidi="zxx"/>
        </w:rPr>
      </w:r>
    </w:p>
    <w:p>
      <w:pPr>
        <w:pStyle w:val="Normal"/>
        <w:rPr>
          <w:rFonts w:ascii="Times New Roman" w:hAnsi="Times New Roman"/>
          <w:color w:val="auto"/>
          <w:sz w:val="26"/>
          <w:szCs w:val="26"/>
          <w:lang w:val="zxx" w:eastAsia="zxx" w:bidi="zxx"/>
        </w:rPr>
      </w:pPr>
      <w:r>
        <w:rPr>
          <w:rFonts w:ascii="Times New Roman" w:hAnsi="Times New Roman"/>
          <w:color w:val="auto"/>
          <w:sz w:val="26"/>
          <w:szCs w:val="26"/>
          <w:lang w:val="zxx" w:eastAsia="zxx" w:bidi="zxx"/>
        </w:rPr>
      </w:r>
    </w:p>
    <w:tbl>
      <w:tblPr>
        <w:tblW w:w="9972" w:type="dxa"/>
        <w:jc w:val="left"/>
        <w:tblInd w:w="0" w:type="dxa"/>
        <w:shd w:fill="FFFFFF" w:val="clear"/>
        <w:tblCellMar>
          <w:top w:w="28" w:type="dxa"/>
          <w:left w:w="28" w:type="dxa"/>
          <w:bottom w:w="28" w:type="dxa"/>
          <w:right w:w="28" w:type="dxa"/>
        </w:tblCellMar>
      </w:tblPr>
      <w:tblGrid>
        <w:gridCol w:w="9437"/>
        <w:gridCol w:w="535"/>
      </w:tblGrid>
      <w:tr>
        <w:trPr/>
        <w:tc>
          <w:tcPr>
            <w:tcW w:w="943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b/>
                <w:b/>
                <w:bCs/>
                <w:color w:val="auto"/>
                <w:sz w:val="26"/>
                <w:szCs w:val="26"/>
                <w:lang w:val="zxx" w:eastAsia="zxx" w:bidi="zxx"/>
              </w:rPr>
            </w:pPr>
            <w:r>
              <w:rPr>
                <w:rFonts w:ascii="Times New Roman" w:hAnsi="Times New Roman"/>
                <w:b/>
                <w:bCs/>
                <w:color w:val="auto"/>
                <w:sz w:val="26"/>
                <w:szCs w:val="26"/>
                <w:lang w:val="zxx" w:eastAsia="zxx" w:bidi="zxx"/>
              </w:rPr>
              <w:t>Perioade asimilate:</w:t>
            </w:r>
          </w:p>
        </w:tc>
        <w:tc>
          <w:tcPr>
            <w:tcW w:w="53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6"/>
                <w:szCs w:val="26"/>
                <w:lang w:val="zxx" w:eastAsia="zxx" w:bidi="zxx"/>
              </w:rPr>
            </w:pPr>
            <w:r>
              <w:rPr>
                <w:rFonts w:ascii="Times New Roman" w:hAnsi="Times New Roman"/>
                <w:color w:val="auto"/>
                <w:sz w:val="26"/>
                <w:szCs w:val="26"/>
                <w:lang w:val="zxx" w:eastAsia="zxx" w:bidi="zxx"/>
              </w:rPr>
              <w:t>Cod</w:t>
            </w:r>
          </w:p>
        </w:tc>
      </w:tr>
      <w:tr>
        <w:trPr/>
        <w:tc>
          <w:tcPr>
            <w:tcW w:w="943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6"/>
                <w:szCs w:val="26"/>
                <w:lang w:val="zxx" w:eastAsia="zxx" w:bidi="zxx"/>
              </w:rPr>
            </w:pPr>
            <w:r>
              <w:rPr>
                <w:rFonts w:ascii="Times New Roman" w:hAnsi="Times New Roman"/>
                <w:color w:val="auto"/>
                <w:sz w:val="26"/>
                <w:szCs w:val="26"/>
                <w:lang w:val="zxx" w:eastAsia="zxx" w:bidi="zxx"/>
              </w:rPr>
              <w:t>au beneficiat de indemnizație de șomaj, stabilită conform legii, sau a realizat perioade de stagiu de cotizare în sistemul public de pensii, în condițiile prevăzute de actele normative cu caracter special care reglementează concedierile colective</w:t>
            </w:r>
          </w:p>
        </w:tc>
        <w:tc>
          <w:tcPr>
            <w:tcW w:w="53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6"/>
                <w:szCs w:val="26"/>
                <w:lang w:val="zxx" w:eastAsia="zxx" w:bidi="zxx"/>
              </w:rPr>
            </w:pPr>
            <w:r>
              <w:rPr>
                <w:rFonts w:ascii="Times New Roman" w:hAnsi="Times New Roman"/>
                <w:color w:val="auto"/>
                <w:sz w:val="26"/>
                <w:szCs w:val="26"/>
                <w:lang w:val="zxx" w:eastAsia="zxx" w:bidi="zxx"/>
              </w:rPr>
              <w:t>01</w:t>
            </w:r>
          </w:p>
        </w:tc>
      </w:tr>
      <w:tr>
        <w:trPr/>
        <w:tc>
          <w:tcPr>
            <w:tcW w:w="943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6"/>
                <w:szCs w:val="26"/>
                <w:lang w:val="zxx" w:eastAsia="zxx" w:bidi="zxx"/>
              </w:rPr>
            </w:pPr>
            <w:r>
              <w:rPr>
                <w:rFonts w:ascii="Times New Roman" w:hAnsi="Times New Roman"/>
                <w:color w:val="auto"/>
                <w:sz w:val="26"/>
                <w:szCs w:val="26"/>
                <w:lang w:val="zxx" w:eastAsia="zxx" w:bidi="zxx"/>
              </w:rPr>
              <w:t>s-au aflat în evidența agențiilor județene pentru ocuparea forței de muncă, respectiv a municipiului București, în vederea acordării indemnizației de șomaj</w:t>
            </w:r>
          </w:p>
        </w:tc>
        <w:tc>
          <w:tcPr>
            <w:tcW w:w="53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6"/>
                <w:szCs w:val="26"/>
                <w:lang w:val="zxx" w:eastAsia="zxx" w:bidi="zxx"/>
              </w:rPr>
            </w:pPr>
            <w:r>
              <w:rPr>
                <w:rFonts w:ascii="Times New Roman" w:hAnsi="Times New Roman"/>
                <w:color w:val="auto"/>
                <w:sz w:val="26"/>
                <w:szCs w:val="26"/>
                <w:lang w:val="zxx" w:eastAsia="zxx" w:bidi="zxx"/>
              </w:rPr>
              <w:t>02</w:t>
            </w:r>
          </w:p>
        </w:tc>
      </w:tr>
      <w:tr>
        <w:trPr/>
        <w:tc>
          <w:tcPr>
            <w:tcW w:w="943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pPr>
            <w:r>
              <w:rPr>
                <w:rFonts w:ascii="Times New Roman" w:hAnsi="Times New Roman"/>
                <w:color w:val="auto"/>
                <w:sz w:val="26"/>
                <w:szCs w:val="26"/>
                <w:lang w:val="zxx" w:eastAsia="zxx" w:bidi="zxx"/>
              </w:rPr>
              <w:t xml:space="preserve">au beneficiat de concedii și de indemnizații de asigurări sociale de sănătate prevăzute de </w:t>
            </w:r>
            <w:hyperlink r:id="rId2">
              <w:r>
                <w:rPr>
                  <w:rStyle w:val="InternetLink"/>
                  <w:rFonts w:ascii="Times New Roman" w:hAnsi="Times New Roman"/>
                  <w:strike w:val="false"/>
                  <w:dstrike w:val="false"/>
                  <w:color w:val="auto"/>
                  <w:sz w:val="26"/>
                  <w:szCs w:val="26"/>
                  <w:u w:val="none"/>
                  <w:effect w:val="none"/>
                  <w:lang w:val="zxx" w:eastAsia="zxx" w:bidi="zxx"/>
                </w:rPr>
                <w:t>Ordonanța de urgență a Guvernului nr. 158/2005</w:t>
              </w:r>
            </w:hyperlink>
            <w:r>
              <w:rPr>
                <w:rFonts w:ascii="Times New Roman" w:hAnsi="Times New Roman"/>
                <w:color w:val="auto"/>
                <w:sz w:val="26"/>
                <w:szCs w:val="26"/>
                <w:lang w:val="zxx" w:eastAsia="zxx" w:bidi="zxx"/>
              </w:rPr>
              <w:t xml:space="preserve"> privind concediile și indemnizațiile de asigurări sociale de sănătate, aprobată cu modificări și completări prin </w:t>
            </w:r>
            <w:hyperlink r:id="rId3">
              <w:r>
                <w:rPr>
                  <w:rStyle w:val="InternetLink"/>
                  <w:rFonts w:ascii="Times New Roman" w:hAnsi="Times New Roman"/>
                  <w:strike w:val="false"/>
                  <w:dstrike w:val="false"/>
                  <w:color w:val="auto"/>
                  <w:sz w:val="26"/>
                  <w:szCs w:val="26"/>
                  <w:u w:val="none"/>
                  <w:effect w:val="none"/>
                  <w:lang w:val="zxx" w:eastAsia="zxx" w:bidi="zxx"/>
                </w:rPr>
                <w:t>Legea nr. 399/2006</w:t>
              </w:r>
            </w:hyperlink>
            <w:r>
              <w:rPr>
                <w:rFonts w:ascii="Times New Roman" w:hAnsi="Times New Roman"/>
                <w:color w:val="auto"/>
                <w:sz w:val="26"/>
                <w:szCs w:val="26"/>
                <w:lang w:val="zxx" w:eastAsia="zxx" w:bidi="zxx"/>
              </w:rPr>
              <w:t>, cu modificările și completările ulterioare</w:t>
            </w:r>
          </w:p>
        </w:tc>
        <w:tc>
          <w:tcPr>
            <w:tcW w:w="53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6"/>
                <w:szCs w:val="26"/>
                <w:lang w:val="zxx" w:eastAsia="zxx" w:bidi="zxx"/>
              </w:rPr>
            </w:pPr>
            <w:r>
              <w:rPr>
                <w:rFonts w:ascii="Times New Roman" w:hAnsi="Times New Roman"/>
                <w:color w:val="auto"/>
                <w:sz w:val="26"/>
                <w:szCs w:val="26"/>
                <w:lang w:val="zxx" w:eastAsia="zxx" w:bidi="zxx"/>
              </w:rPr>
              <w:t>03</w:t>
            </w:r>
          </w:p>
        </w:tc>
      </w:tr>
      <w:tr>
        <w:trPr/>
        <w:tc>
          <w:tcPr>
            <w:tcW w:w="943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pPr>
            <w:r>
              <w:rPr>
                <w:rFonts w:ascii="Times New Roman" w:hAnsi="Times New Roman"/>
                <w:color w:val="auto"/>
                <w:sz w:val="26"/>
                <w:szCs w:val="26"/>
                <w:lang w:val="zxx" w:eastAsia="zxx" w:bidi="zxx"/>
              </w:rPr>
              <w:t xml:space="preserve">au beneficiat de concedii medicale și de indemnizații pentru prevenirea îmbolnăvirilor și recuperarea capacității de muncă, exclusiv pentru situațiile rezultate ca urmare a unor accidente de muncă sau boli profesionale în baza </w:t>
            </w:r>
            <w:hyperlink r:id="rId4">
              <w:r>
                <w:rPr>
                  <w:rStyle w:val="InternetLink"/>
                  <w:rFonts w:ascii="Times New Roman" w:hAnsi="Times New Roman"/>
                  <w:strike w:val="false"/>
                  <w:dstrike w:val="false"/>
                  <w:color w:val="auto"/>
                  <w:sz w:val="26"/>
                  <w:szCs w:val="26"/>
                  <w:u w:val="none"/>
                  <w:effect w:val="none"/>
                  <w:lang w:val="zxx" w:eastAsia="zxx" w:bidi="zxx"/>
                </w:rPr>
                <w:t>Legii nr. 346/2002</w:t>
              </w:r>
            </w:hyperlink>
            <w:r>
              <w:rPr>
                <w:rFonts w:ascii="Times New Roman" w:hAnsi="Times New Roman"/>
                <w:color w:val="auto"/>
                <w:sz w:val="26"/>
                <w:szCs w:val="26"/>
                <w:lang w:val="zxx" w:eastAsia="zxx" w:bidi="zxx"/>
              </w:rPr>
              <w:t xml:space="preserve"> privind asigurarea pentru accidente de muncă și boli profesionale, republicată, cu modificările și completările ulterioare</w:t>
            </w:r>
          </w:p>
        </w:tc>
        <w:tc>
          <w:tcPr>
            <w:tcW w:w="53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6"/>
                <w:szCs w:val="26"/>
                <w:lang w:val="zxx" w:eastAsia="zxx" w:bidi="zxx"/>
              </w:rPr>
            </w:pPr>
            <w:r>
              <w:rPr>
                <w:rFonts w:ascii="Times New Roman" w:hAnsi="Times New Roman"/>
                <w:color w:val="auto"/>
                <w:sz w:val="26"/>
                <w:szCs w:val="26"/>
                <w:lang w:val="zxx" w:eastAsia="zxx" w:bidi="zxx"/>
              </w:rPr>
              <w:t>04</w:t>
            </w:r>
          </w:p>
        </w:tc>
      </w:tr>
      <w:tr>
        <w:trPr/>
        <w:tc>
          <w:tcPr>
            <w:tcW w:w="943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6"/>
                <w:szCs w:val="26"/>
                <w:lang w:val="zxx" w:eastAsia="zxx" w:bidi="zxx"/>
              </w:rPr>
            </w:pPr>
            <w:r>
              <w:rPr>
                <w:rFonts w:ascii="Times New Roman" w:hAnsi="Times New Roman"/>
                <w:color w:val="auto"/>
                <w:sz w:val="26"/>
                <w:szCs w:val="26"/>
                <w:lang w:val="zxx" w:eastAsia="zxx" w:bidi="zxx"/>
              </w:rPr>
              <w:t>au beneficiat de pensie de invaliditate, în condițiile legii</w:t>
            </w:r>
          </w:p>
        </w:tc>
        <w:tc>
          <w:tcPr>
            <w:tcW w:w="53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6"/>
                <w:szCs w:val="26"/>
                <w:lang w:val="zxx" w:eastAsia="zxx" w:bidi="zxx"/>
              </w:rPr>
            </w:pPr>
            <w:r>
              <w:rPr>
                <w:rFonts w:ascii="Times New Roman" w:hAnsi="Times New Roman"/>
                <w:color w:val="auto"/>
                <w:sz w:val="26"/>
                <w:szCs w:val="26"/>
                <w:lang w:val="zxx" w:eastAsia="zxx" w:bidi="zxx"/>
              </w:rPr>
              <w:t>05</w:t>
            </w:r>
          </w:p>
        </w:tc>
      </w:tr>
      <w:tr>
        <w:trPr/>
        <w:tc>
          <w:tcPr>
            <w:tcW w:w="943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6"/>
                <w:szCs w:val="26"/>
                <w:lang w:val="zxx" w:eastAsia="zxx" w:bidi="zxx"/>
              </w:rPr>
            </w:pPr>
            <w:r>
              <w:rPr>
                <w:rFonts w:ascii="Times New Roman" w:hAnsi="Times New Roman"/>
                <w:color w:val="auto"/>
                <w:sz w:val="26"/>
                <w:szCs w:val="26"/>
                <w:lang w:val="zxx" w:eastAsia="zxx" w:bidi="zxx"/>
              </w:rPr>
              <w:t>se află în perioada de întrerupere temporară a activității, din inițiativa angajatorului, fără încetarea raportului de muncă, pentru motive economice, tehnologice, structurale sau similare, potrivit legii</w:t>
            </w:r>
          </w:p>
        </w:tc>
        <w:tc>
          <w:tcPr>
            <w:tcW w:w="53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6"/>
                <w:szCs w:val="26"/>
                <w:lang w:val="zxx" w:eastAsia="zxx" w:bidi="zxx"/>
              </w:rPr>
            </w:pPr>
            <w:r>
              <w:rPr>
                <w:rFonts w:ascii="Times New Roman" w:hAnsi="Times New Roman"/>
                <w:color w:val="auto"/>
                <w:sz w:val="26"/>
                <w:szCs w:val="26"/>
                <w:lang w:val="zxx" w:eastAsia="zxx" w:bidi="zxx"/>
              </w:rPr>
              <w:t>06</w:t>
            </w:r>
          </w:p>
        </w:tc>
      </w:tr>
      <w:tr>
        <w:trPr/>
        <w:tc>
          <w:tcPr>
            <w:tcW w:w="943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6"/>
                <w:szCs w:val="26"/>
                <w:lang w:val="zxx" w:eastAsia="zxx" w:bidi="zxx"/>
              </w:rPr>
            </w:pPr>
            <w:r>
              <w:rPr>
                <w:rFonts w:ascii="Times New Roman" w:hAnsi="Times New Roman"/>
                <w:color w:val="auto"/>
                <w:sz w:val="26"/>
                <w:szCs w:val="26"/>
                <w:lang w:val="zxx" w:eastAsia="zxx" w:bidi="zxx"/>
              </w:rPr>
              <w:t>au beneficiat de concediu și indemnizația lunară pentru creșterea copilului</w:t>
            </w:r>
          </w:p>
        </w:tc>
        <w:tc>
          <w:tcPr>
            <w:tcW w:w="53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6"/>
                <w:szCs w:val="26"/>
                <w:lang w:val="zxx" w:eastAsia="zxx" w:bidi="zxx"/>
              </w:rPr>
            </w:pPr>
            <w:r>
              <w:rPr>
                <w:rFonts w:ascii="Times New Roman" w:hAnsi="Times New Roman"/>
                <w:color w:val="auto"/>
                <w:sz w:val="26"/>
                <w:szCs w:val="26"/>
                <w:lang w:val="zxx" w:eastAsia="zxx" w:bidi="zxx"/>
              </w:rPr>
              <w:t>07</w:t>
            </w:r>
          </w:p>
        </w:tc>
      </w:tr>
      <w:tr>
        <w:trPr/>
        <w:tc>
          <w:tcPr>
            <w:tcW w:w="943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6"/>
                <w:szCs w:val="26"/>
                <w:lang w:val="zxx" w:eastAsia="zxx" w:bidi="zxx"/>
              </w:rPr>
            </w:pPr>
            <w:r>
              <w:rPr>
                <w:rFonts w:ascii="Times New Roman" w:hAnsi="Times New Roman"/>
                <w:color w:val="auto"/>
                <w:sz w:val="26"/>
                <w:szCs w:val="26"/>
                <w:lang w:val="zxx" w:eastAsia="zxx" w:bidi="zxx"/>
              </w:rPr>
              <w:t>au beneficiat de concediu și indemnizație lunară pentru creșterea sau, după caz, pentru îngrijirea copilului cu handicap</w:t>
            </w:r>
          </w:p>
        </w:tc>
        <w:tc>
          <w:tcPr>
            <w:tcW w:w="53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6"/>
                <w:szCs w:val="26"/>
                <w:lang w:val="zxx" w:eastAsia="zxx" w:bidi="zxx"/>
              </w:rPr>
            </w:pPr>
            <w:r>
              <w:rPr>
                <w:rFonts w:ascii="Times New Roman" w:hAnsi="Times New Roman"/>
                <w:color w:val="auto"/>
                <w:sz w:val="26"/>
                <w:szCs w:val="26"/>
                <w:lang w:val="zxx" w:eastAsia="zxx" w:bidi="zxx"/>
              </w:rPr>
              <w:t>08</w:t>
            </w:r>
          </w:p>
        </w:tc>
      </w:tr>
      <w:tr>
        <w:trPr/>
        <w:tc>
          <w:tcPr>
            <w:tcW w:w="943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6"/>
                <w:szCs w:val="26"/>
                <w:lang w:val="zxx" w:eastAsia="zxx" w:bidi="zxx"/>
              </w:rPr>
            </w:pPr>
            <w:r>
              <w:rPr>
                <w:rFonts w:ascii="Times New Roman" w:hAnsi="Times New Roman"/>
                <w:color w:val="auto"/>
                <w:sz w:val="26"/>
                <w:szCs w:val="26"/>
                <w:lang w:val="zxx" w:eastAsia="zxx" w:bidi="zxx"/>
              </w:rPr>
              <w:t>au beneficiat de concediu fără plată pentru creșterea copilului</w:t>
            </w:r>
          </w:p>
        </w:tc>
        <w:tc>
          <w:tcPr>
            <w:tcW w:w="53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6"/>
                <w:szCs w:val="26"/>
                <w:lang w:val="zxx" w:eastAsia="zxx" w:bidi="zxx"/>
              </w:rPr>
            </w:pPr>
            <w:r>
              <w:rPr>
                <w:rFonts w:ascii="Times New Roman" w:hAnsi="Times New Roman"/>
                <w:color w:val="auto"/>
                <w:sz w:val="26"/>
                <w:szCs w:val="26"/>
                <w:lang w:val="zxx" w:eastAsia="zxx" w:bidi="zxx"/>
              </w:rPr>
              <w:t>09</w:t>
            </w:r>
          </w:p>
        </w:tc>
      </w:tr>
      <w:tr>
        <w:trPr/>
        <w:tc>
          <w:tcPr>
            <w:tcW w:w="943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pPr>
            <w:r>
              <w:rPr>
                <w:rFonts w:ascii="Times New Roman" w:hAnsi="Times New Roman"/>
                <w:color w:val="auto"/>
                <w:sz w:val="26"/>
                <w:szCs w:val="26"/>
                <w:lang w:val="zxx" w:eastAsia="zxx" w:bidi="zxx"/>
              </w:rPr>
              <w:t xml:space="preserve">se află în perioada de 3 luni de la încetarea unui contract de muncă pe durată determinată și începerea unui alt contract de muncă pe durată determinată, așa cum este aceasta definită de </w:t>
            </w:r>
            <w:hyperlink r:id="rId5">
              <w:r>
                <w:rPr>
                  <w:rStyle w:val="InternetLink"/>
                  <w:rFonts w:ascii="Times New Roman" w:hAnsi="Times New Roman"/>
                  <w:strike w:val="false"/>
                  <w:dstrike w:val="false"/>
                  <w:color w:val="auto"/>
                  <w:sz w:val="26"/>
                  <w:szCs w:val="26"/>
                  <w:u w:val="none"/>
                  <w:effect w:val="none"/>
                  <w:lang w:val="zxx" w:eastAsia="zxx" w:bidi="zxx"/>
                </w:rPr>
                <w:t>Legea nr. 53/2003 - Codul muncii, republicată</w:t>
              </w:r>
            </w:hyperlink>
            <w:r>
              <w:rPr>
                <w:rFonts w:ascii="Times New Roman" w:hAnsi="Times New Roman"/>
                <w:color w:val="auto"/>
                <w:sz w:val="26"/>
                <w:szCs w:val="26"/>
                <w:lang w:val="zxx" w:eastAsia="zxx" w:bidi="zxx"/>
              </w:rPr>
              <w:t>, cu modificările și completările ulterioare</w:t>
            </w:r>
          </w:p>
        </w:tc>
        <w:tc>
          <w:tcPr>
            <w:tcW w:w="53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6"/>
                <w:szCs w:val="26"/>
                <w:lang w:val="zxx" w:eastAsia="zxx" w:bidi="zxx"/>
              </w:rPr>
            </w:pPr>
            <w:r>
              <w:rPr>
                <w:rFonts w:ascii="Times New Roman" w:hAnsi="Times New Roman"/>
                <w:color w:val="auto"/>
                <w:sz w:val="26"/>
                <w:szCs w:val="26"/>
                <w:lang w:val="zxx" w:eastAsia="zxx" w:bidi="zxx"/>
              </w:rPr>
              <w:t>10</w:t>
            </w:r>
          </w:p>
        </w:tc>
      </w:tr>
      <w:tr>
        <w:trPr/>
        <w:tc>
          <w:tcPr>
            <w:tcW w:w="943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6"/>
                <w:szCs w:val="26"/>
                <w:lang w:val="zxx" w:eastAsia="zxx" w:bidi="zxx"/>
              </w:rPr>
            </w:pPr>
            <w:r>
              <w:rPr>
                <w:rFonts w:ascii="Times New Roman" w:hAnsi="Times New Roman"/>
                <w:color w:val="auto"/>
                <w:sz w:val="26"/>
                <w:szCs w:val="26"/>
                <w:lang w:val="zxx" w:eastAsia="zxx" w:bidi="zxx"/>
              </w:rPr>
              <w:t>și-au însoțit soțul/soția trimis/trimisă în misiune permanentă în străinătate</w:t>
            </w:r>
          </w:p>
        </w:tc>
        <w:tc>
          <w:tcPr>
            <w:tcW w:w="53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6"/>
                <w:szCs w:val="26"/>
                <w:lang w:val="zxx" w:eastAsia="zxx" w:bidi="zxx"/>
              </w:rPr>
            </w:pPr>
            <w:r>
              <w:rPr>
                <w:rFonts w:ascii="Times New Roman" w:hAnsi="Times New Roman"/>
                <w:color w:val="auto"/>
                <w:sz w:val="26"/>
                <w:szCs w:val="26"/>
                <w:lang w:val="zxx" w:eastAsia="zxx" w:bidi="zxx"/>
              </w:rPr>
              <w:t>11</w:t>
            </w:r>
          </w:p>
        </w:tc>
      </w:tr>
      <w:tr>
        <w:trPr/>
        <w:tc>
          <w:tcPr>
            <w:tcW w:w="943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6"/>
                <w:szCs w:val="26"/>
                <w:lang w:val="zxx" w:eastAsia="zxx" w:bidi="zxx"/>
              </w:rPr>
            </w:pPr>
            <w:r>
              <w:rPr>
                <w:rFonts w:ascii="Times New Roman" w:hAnsi="Times New Roman"/>
                <w:color w:val="auto"/>
                <w:sz w:val="26"/>
                <w:szCs w:val="26"/>
                <w:lang w:val="zxx" w:eastAsia="zxx" w:bidi="zxx"/>
              </w:rPr>
              <w:t>au efectuat sau efectuează serviciul militar pe bază de voluntariat, a fost concentrat, mobilizat sau în prizonierat</w:t>
            </w:r>
          </w:p>
        </w:tc>
        <w:tc>
          <w:tcPr>
            <w:tcW w:w="53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6"/>
                <w:szCs w:val="26"/>
                <w:lang w:val="zxx" w:eastAsia="zxx" w:bidi="zxx"/>
              </w:rPr>
            </w:pPr>
            <w:r>
              <w:rPr>
                <w:rFonts w:ascii="Times New Roman" w:hAnsi="Times New Roman"/>
                <w:color w:val="auto"/>
                <w:sz w:val="26"/>
                <w:szCs w:val="26"/>
                <w:lang w:val="zxx" w:eastAsia="zxx" w:bidi="zxx"/>
              </w:rPr>
              <w:t>12</w:t>
            </w:r>
          </w:p>
        </w:tc>
      </w:tr>
      <w:tr>
        <w:trPr/>
        <w:tc>
          <w:tcPr>
            <w:tcW w:w="943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6"/>
                <w:szCs w:val="26"/>
                <w:lang w:val="zxx" w:eastAsia="zxx" w:bidi="zxx"/>
              </w:rPr>
            </w:pPr>
            <w:r>
              <w:rPr>
                <w:rFonts w:ascii="Times New Roman" w:hAnsi="Times New Roman"/>
                <w:color w:val="auto"/>
                <w:sz w:val="26"/>
                <w:szCs w:val="26"/>
                <w:lang w:val="zxx" w:eastAsia="zxx" w:bidi="zxx"/>
              </w:rPr>
              <w:t>frecventează, fără întrerupere, cursurile de zi ale învățământului preuniversitar, inclusiv în cadrul programului „A doua șansă“, sau, după caz, universitar la nivelul studiilor universitare de licență ori de master, precum și ale învățământului postuniversitar la nivel de masterat, organizate potrivit legii, în țară sau în străinătate, într-un domeniu recunoscut de Ministerul Educației, cu excepția situației de întrerupere a cursurilor din motive medicale</w:t>
            </w:r>
          </w:p>
        </w:tc>
        <w:tc>
          <w:tcPr>
            <w:tcW w:w="53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6"/>
                <w:szCs w:val="26"/>
                <w:lang w:val="zxx" w:eastAsia="zxx" w:bidi="zxx"/>
              </w:rPr>
            </w:pPr>
            <w:r>
              <w:rPr>
                <w:rFonts w:ascii="Times New Roman" w:hAnsi="Times New Roman"/>
                <w:color w:val="auto"/>
                <w:sz w:val="26"/>
                <w:szCs w:val="26"/>
                <w:lang w:val="zxx" w:eastAsia="zxx" w:bidi="zxx"/>
              </w:rPr>
              <w:t>13</w:t>
            </w:r>
          </w:p>
        </w:tc>
      </w:tr>
      <w:tr>
        <w:trPr/>
        <w:tc>
          <w:tcPr>
            <w:tcW w:w="943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6"/>
                <w:szCs w:val="26"/>
                <w:lang w:val="zxx" w:eastAsia="zxx" w:bidi="zxx"/>
              </w:rPr>
            </w:pPr>
            <w:r>
              <w:rPr>
                <w:rFonts w:ascii="Times New Roman" w:hAnsi="Times New Roman"/>
                <w:color w:val="auto"/>
                <w:sz w:val="26"/>
                <w:szCs w:val="26"/>
                <w:lang w:val="zxx" w:eastAsia="zxx" w:bidi="zxx"/>
              </w:rPr>
              <w:t>au calitatea de doctorand, în condițiile prevăzute de Legea educației naționale nr. 1/2011, cu modificările și completările ulterioare</w:t>
            </w:r>
          </w:p>
        </w:tc>
        <w:tc>
          <w:tcPr>
            <w:tcW w:w="53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6"/>
                <w:szCs w:val="26"/>
                <w:lang w:val="zxx" w:eastAsia="zxx" w:bidi="zxx"/>
              </w:rPr>
            </w:pPr>
            <w:r>
              <w:rPr>
                <w:rFonts w:ascii="Times New Roman" w:hAnsi="Times New Roman"/>
                <w:color w:val="auto"/>
                <w:sz w:val="26"/>
                <w:szCs w:val="26"/>
                <w:lang w:val="zxx" w:eastAsia="zxx" w:bidi="zxx"/>
              </w:rPr>
              <w:t>14</w:t>
            </w:r>
          </w:p>
        </w:tc>
      </w:tr>
      <w:tr>
        <w:trPr/>
        <w:tc>
          <w:tcPr>
            <w:tcW w:w="943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6"/>
                <w:szCs w:val="26"/>
                <w:lang w:val="zxx" w:eastAsia="zxx" w:bidi="zxx"/>
              </w:rPr>
            </w:pPr>
            <w:r>
              <w:rPr>
                <w:rFonts w:ascii="Times New Roman" w:hAnsi="Times New Roman"/>
                <w:color w:val="auto"/>
                <w:sz w:val="26"/>
                <w:szCs w:val="26"/>
                <w:lang w:val="zxx" w:eastAsia="zxx" w:bidi="zxx"/>
              </w:rPr>
              <w:t>se află în perioada cuprinsă între încheierea unei forme de învățământ preuniversitar și începerea în același an calendaristic a unei alte forme de învățământ preuniversitar, cursuri de zi, organizate potrivit legii, frecventate fără întrerupere</w:t>
            </w:r>
          </w:p>
        </w:tc>
        <w:tc>
          <w:tcPr>
            <w:tcW w:w="53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6"/>
                <w:szCs w:val="26"/>
                <w:lang w:val="zxx" w:eastAsia="zxx" w:bidi="zxx"/>
              </w:rPr>
            </w:pPr>
            <w:r>
              <w:rPr>
                <w:rFonts w:ascii="Times New Roman" w:hAnsi="Times New Roman"/>
                <w:color w:val="auto"/>
                <w:sz w:val="26"/>
                <w:szCs w:val="26"/>
                <w:lang w:val="zxx" w:eastAsia="zxx" w:bidi="zxx"/>
              </w:rPr>
              <w:t>15</w:t>
            </w:r>
          </w:p>
        </w:tc>
      </w:tr>
      <w:tr>
        <w:trPr/>
        <w:tc>
          <w:tcPr>
            <w:tcW w:w="943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6"/>
                <w:szCs w:val="26"/>
                <w:lang w:val="zxx" w:eastAsia="zxx" w:bidi="zxx"/>
              </w:rPr>
            </w:pPr>
            <w:r>
              <w:rPr>
                <w:rFonts w:ascii="Times New Roman" w:hAnsi="Times New Roman"/>
                <w:color w:val="auto"/>
                <w:sz w:val="26"/>
                <w:szCs w:val="26"/>
                <w:lang w:val="zxx" w:eastAsia="zxx" w:bidi="zxx"/>
              </w:rPr>
              <w:t>se află în perioada cuprinsă între absolvirea cursurilor de zi ale învățământului preuniversitar, organizat potrivit legii, și începerea învățământului universitar, cursuri de zi, în același an calendaristic</w:t>
            </w:r>
          </w:p>
        </w:tc>
        <w:tc>
          <w:tcPr>
            <w:tcW w:w="53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6"/>
                <w:szCs w:val="26"/>
                <w:lang w:val="zxx" w:eastAsia="zxx" w:bidi="zxx"/>
              </w:rPr>
            </w:pPr>
            <w:r>
              <w:rPr>
                <w:rFonts w:ascii="Times New Roman" w:hAnsi="Times New Roman"/>
                <w:color w:val="auto"/>
                <w:sz w:val="26"/>
                <w:szCs w:val="26"/>
                <w:lang w:val="zxx" w:eastAsia="zxx" w:bidi="zxx"/>
              </w:rPr>
              <w:t>16</w:t>
            </w:r>
          </w:p>
        </w:tc>
      </w:tr>
      <w:tr>
        <w:trPr/>
        <w:tc>
          <w:tcPr>
            <w:tcW w:w="943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6"/>
                <w:szCs w:val="26"/>
                <w:lang w:val="zxx" w:eastAsia="zxx" w:bidi="zxx"/>
              </w:rPr>
            </w:pPr>
            <w:r>
              <w:rPr>
                <w:rFonts w:ascii="Times New Roman" w:hAnsi="Times New Roman"/>
                <w:color w:val="auto"/>
                <w:sz w:val="26"/>
                <w:szCs w:val="26"/>
                <w:lang w:val="zxx" w:eastAsia="zxx" w:bidi="zxx"/>
              </w:rPr>
              <w:t>se află în perioada cuprinsă între încheierea unei forme de învățământ universitar, cursuri de zi, cu sau fără examen de licență sau de diplomă și începerea în același an calendaristic a unei alte forme de învățământ universitar, cursuri de zi, organizate potrivit legii, frecventate fără întrerupere</w:t>
            </w:r>
          </w:p>
        </w:tc>
        <w:tc>
          <w:tcPr>
            <w:tcW w:w="53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6"/>
                <w:szCs w:val="26"/>
                <w:lang w:val="zxx" w:eastAsia="zxx" w:bidi="zxx"/>
              </w:rPr>
            </w:pPr>
            <w:r>
              <w:rPr>
                <w:rFonts w:ascii="Times New Roman" w:hAnsi="Times New Roman"/>
                <w:color w:val="auto"/>
                <w:sz w:val="26"/>
                <w:szCs w:val="26"/>
                <w:lang w:val="zxx" w:eastAsia="zxx" w:bidi="zxx"/>
              </w:rPr>
              <w:t>17</w:t>
            </w:r>
          </w:p>
        </w:tc>
      </w:tr>
      <w:tr>
        <w:trPr/>
        <w:tc>
          <w:tcPr>
            <w:tcW w:w="943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6"/>
                <w:szCs w:val="26"/>
                <w:lang w:val="zxx" w:eastAsia="zxx" w:bidi="zxx"/>
              </w:rPr>
            </w:pPr>
            <w:r>
              <w:rPr>
                <w:rFonts w:ascii="Times New Roman" w:hAnsi="Times New Roman"/>
                <w:color w:val="auto"/>
                <w:sz w:val="26"/>
                <w:szCs w:val="26"/>
                <w:lang w:val="zxx" w:eastAsia="zxx" w:bidi="zxx"/>
              </w:rPr>
              <w:t>se află în perioada cuprinsă între încheierea unei forme de învățământ universitar, la nivelul studiilor universitare de licență sau de master, precum și ale învățământului postuniversitar la nivel de masterat, cursuri de zi, și începerea, în același an calendaristic, a unei alte forme de învățământ universitar la nivelul studiilor universitare de licență sau de master, cursuri de zi, organizate potrivit legii, frecventate fără întrerupere</w:t>
            </w:r>
          </w:p>
        </w:tc>
        <w:tc>
          <w:tcPr>
            <w:tcW w:w="53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6"/>
                <w:szCs w:val="26"/>
                <w:lang w:val="zxx" w:eastAsia="zxx" w:bidi="zxx"/>
              </w:rPr>
            </w:pPr>
            <w:r>
              <w:rPr>
                <w:rFonts w:ascii="Times New Roman" w:hAnsi="Times New Roman"/>
                <w:color w:val="auto"/>
                <w:sz w:val="26"/>
                <w:szCs w:val="26"/>
                <w:lang w:val="zxx" w:eastAsia="zxx" w:bidi="zxx"/>
              </w:rPr>
              <w:t>18</w:t>
            </w:r>
          </w:p>
        </w:tc>
      </w:tr>
      <w:tr>
        <w:trPr/>
        <w:tc>
          <w:tcPr>
            <w:tcW w:w="943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6"/>
                <w:szCs w:val="26"/>
                <w:lang w:val="zxx" w:eastAsia="zxx" w:bidi="zxx"/>
              </w:rPr>
            </w:pPr>
            <w:r>
              <w:rPr>
                <w:rFonts w:ascii="Times New Roman" w:hAnsi="Times New Roman"/>
                <w:color w:val="auto"/>
                <w:sz w:val="26"/>
                <w:szCs w:val="26"/>
                <w:lang w:val="zxx" w:eastAsia="zxx" w:bidi="zxx"/>
              </w:rPr>
              <w:t>se află în perioada cuprinsă între încheierea unei forme de învățământ postuniversitar, cursuri de zi, și începerea în același an calendaristic a unei alte forme de învățământ postuniversitar, cursuri de zi, organizate potrivit legii, frecventate fără întrerupere</w:t>
            </w:r>
          </w:p>
        </w:tc>
        <w:tc>
          <w:tcPr>
            <w:tcW w:w="53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6"/>
                <w:szCs w:val="26"/>
                <w:lang w:val="zxx" w:eastAsia="zxx" w:bidi="zxx"/>
              </w:rPr>
            </w:pPr>
            <w:r>
              <w:rPr>
                <w:rFonts w:ascii="Times New Roman" w:hAnsi="Times New Roman"/>
                <w:color w:val="auto"/>
                <w:sz w:val="26"/>
                <w:szCs w:val="26"/>
                <w:lang w:val="zxx" w:eastAsia="zxx" w:bidi="zxx"/>
              </w:rPr>
              <w:t>19</w:t>
            </w:r>
          </w:p>
        </w:tc>
      </w:tr>
      <w:tr>
        <w:trPr/>
        <w:tc>
          <w:tcPr>
            <w:tcW w:w="943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6"/>
                <w:szCs w:val="26"/>
                <w:lang w:val="zxx" w:eastAsia="zxx" w:bidi="zxx"/>
              </w:rPr>
            </w:pPr>
            <w:r>
              <w:rPr>
                <w:rFonts w:ascii="Times New Roman" w:hAnsi="Times New Roman"/>
                <w:color w:val="auto"/>
                <w:sz w:val="26"/>
                <w:szCs w:val="26"/>
                <w:lang w:val="zxx" w:eastAsia="zxx" w:bidi="zxx"/>
              </w:rPr>
              <w:t>se află în perioada de 60 de zile de la finalizarea cursurilor învățământului obligatoriu sau, după caz, de la absolvirea cursurilor de zi ale învățământului preuniversitar, universitar la nivelul studiilor universitare de licență sau de master și postuniversitar la nivel de masterat, organizate potrivit legii, cu sau fără examen de absolvire, în vederea angajării ori, după caz, trecerii în șomaj, calculate începând cu data de 1 a lunii următoare finalizării studiilor</w:t>
            </w:r>
          </w:p>
        </w:tc>
        <w:tc>
          <w:tcPr>
            <w:tcW w:w="53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6"/>
                <w:szCs w:val="26"/>
                <w:lang w:val="zxx" w:eastAsia="zxx" w:bidi="zxx"/>
              </w:rPr>
            </w:pPr>
            <w:r>
              <w:rPr>
                <w:rFonts w:ascii="Times New Roman" w:hAnsi="Times New Roman"/>
                <w:color w:val="auto"/>
                <w:sz w:val="26"/>
                <w:szCs w:val="26"/>
                <w:lang w:val="zxx" w:eastAsia="zxx" w:bidi="zxx"/>
              </w:rPr>
              <w:t>20</w:t>
            </w:r>
          </w:p>
        </w:tc>
      </w:tr>
      <w:tr>
        <w:trPr/>
        <w:tc>
          <w:tcPr>
            <w:tcW w:w="943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6"/>
                <w:szCs w:val="26"/>
                <w:lang w:val="zxx" w:eastAsia="zxx" w:bidi="zxx"/>
              </w:rPr>
            </w:pPr>
            <w:r>
              <w:rPr>
                <w:rFonts w:ascii="Times New Roman" w:hAnsi="Times New Roman"/>
                <w:color w:val="auto"/>
                <w:sz w:val="26"/>
                <w:szCs w:val="26"/>
                <w:lang w:val="zxx" w:eastAsia="zxx" w:bidi="zxx"/>
              </w:rPr>
              <w:t>au beneficiat de concediu fără plată pentru a participa la cursuri de formare și perfecționare profesională din inițiativa angajatorului sau la care acesta și-a dat acordul, organizate în condițiile legii</w:t>
            </w:r>
          </w:p>
        </w:tc>
        <w:tc>
          <w:tcPr>
            <w:tcW w:w="53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6"/>
                <w:szCs w:val="26"/>
                <w:lang w:val="zxx" w:eastAsia="zxx" w:bidi="zxx"/>
              </w:rPr>
            </w:pPr>
            <w:r>
              <w:rPr>
                <w:rFonts w:ascii="Times New Roman" w:hAnsi="Times New Roman"/>
                <w:color w:val="auto"/>
                <w:sz w:val="26"/>
                <w:szCs w:val="26"/>
                <w:lang w:val="zxx" w:eastAsia="zxx" w:bidi="zxx"/>
              </w:rPr>
              <w:t>21</w:t>
            </w:r>
          </w:p>
        </w:tc>
      </w:tr>
      <w:tr>
        <w:trPr/>
        <w:tc>
          <w:tcPr>
            <w:tcW w:w="943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6"/>
                <w:szCs w:val="26"/>
                <w:lang w:val="zxx" w:eastAsia="zxx" w:bidi="zxx"/>
              </w:rPr>
            </w:pPr>
            <w:r>
              <w:rPr>
                <w:rFonts w:ascii="Times New Roman" w:hAnsi="Times New Roman"/>
                <w:color w:val="auto"/>
                <w:sz w:val="26"/>
                <w:szCs w:val="26"/>
                <w:lang w:val="zxx" w:eastAsia="zxx" w:bidi="zxx"/>
              </w:rPr>
              <w:t>se află în perioada cuprinsă între absolvirea cursurilor de zi ale învățământului medical superior, organizat potrivit legii, cu examen de licență organizat în prima sesiune, și începerea primului rezidențiat după absolvire</w:t>
            </w:r>
          </w:p>
        </w:tc>
        <w:tc>
          <w:tcPr>
            <w:tcW w:w="53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6"/>
                <w:szCs w:val="26"/>
                <w:lang w:val="zxx" w:eastAsia="zxx" w:bidi="zxx"/>
              </w:rPr>
            </w:pPr>
            <w:r>
              <w:rPr>
                <w:rFonts w:ascii="Times New Roman" w:hAnsi="Times New Roman"/>
                <w:color w:val="auto"/>
                <w:sz w:val="26"/>
                <w:szCs w:val="26"/>
                <w:lang w:val="zxx" w:eastAsia="zxx" w:bidi="zxx"/>
              </w:rPr>
              <w:t>22</w:t>
            </w:r>
          </w:p>
        </w:tc>
      </w:tr>
      <w:tr>
        <w:trPr/>
        <w:tc>
          <w:tcPr>
            <w:tcW w:w="943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pPr>
            <w:r>
              <w:rPr>
                <w:rFonts w:ascii="Times New Roman" w:hAnsi="Times New Roman"/>
                <w:color w:val="auto"/>
                <w:sz w:val="26"/>
                <w:szCs w:val="26"/>
                <w:lang w:val="zxx" w:eastAsia="zxx" w:bidi="zxx"/>
              </w:rPr>
              <w:t xml:space="preserve">au beneficiat de indemnizația lunară prevăzută la </w:t>
            </w:r>
            <w:hyperlink r:id="rId6">
              <w:r>
                <w:rPr>
                  <w:rStyle w:val="InternetLink"/>
                  <w:rFonts w:ascii="Times New Roman" w:hAnsi="Times New Roman"/>
                  <w:strike w:val="false"/>
                  <w:dstrike w:val="false"/>
                  <w:color w:val="auto"/>
                  <w:sz w:val="26"/>
                  <w:szCs w:val="26"/>
                  <w:u w:val="none"/>
                  <w:effect w:val="none"/>
                  <w:lang w:val="zxx" w:eastAsia="zxx" w:bidi="zxx"/>
                </w:rPr>
                <w:t>art. XI</w:t>
              </w:r>
            </w:hyperlink>
            <w:r>
              <w:rPr>
                <w:rFonts w:ascii="Times New Roman" w:hAnsi="Times New Roman"/>
                <w:color w:val="auto"/>
                <w:sz w:val="26"/>
                <w:szCs w:val="26"/>
                <w:lang w:val="zxx" w:eastAsia="zxx" w:bidi="zxx"/>
              </w:rPr>
              <w:t xml:space="preserve"> și </w:t>
            </w:r>
            <w:hyperlink r:id="rId7">
              <w:r>
                <w:rPr>
                  <w:rStyle w:val="InternetLink"/>
                  <w:rFonts w:ascii="Times New Roman" w:hAnsi="Times New Roman"/>
                  <w:strike w:val="false"/>
                  <w:dstrike w:val="false"/>
                  <w:color w:val="auto"/>
                  <w:sz w:val="26"/>
                  <w:szCs w:val="26"/>
                  <w:u w:val="none"/>
                  <w:effect w:val="none"/>
                  <w:lang w:val="zxx" w:eastAsia="zxx" w:bidi="zxx"/>
                </w:rPr>
                <w:t>XV din Ordonanța de urgență a Guvernului nr. 30/2020</w:t>
              </w:r>
            </w:hyperlink>
            <w:r>
              <w:rPr>
                <w:rFonts w:ascii="Times New Roman" w:hAnsi="Times New Roman"/>
                <w:color w:val="auto"/>
                <w:sz w:val="26"/>
                <w:szCs w:val="26"/>
                <w:lang w:val="zxx" w:eastAsia="zxx" w:bidi="zxx"/>
              </w:rPr>
              <w:t xml:space="preserve"> pentru modificarea și completarea unor acte normative, precum și pentru stabilirea unor măsuri în domeniul protecției sociale în contextul situației epidemiologice determinate de răspândirea coronavirusului SARS-CoV-2, aprobată cu modificări și completări prin </w:t>
            </w:r>
            <w:hyperlink r:id="rId8">
              <w:r>
                <w:rPr>
                  <w:rStyle w:val="InternetLink"/>
                  <w:rFonts w:ascii="Times New Roman" w:hAnsi="Times New Roman"/>
                  <w:strike w:val="false"/>
                  <w:dstrike w:val="false"/>
                  <w:color w:val="auto"/>
                  <w:sz w:val="26"/>
                  <w:szCs w:val="26"/>
                  <w:u w:val="none"/>
                  <w:effect w:val="none"/>
                  <w:lang w:val="zxx" w:eastAsia="zxx" w:bidi="zxx"/>
                </w:rPr>
                <w:t>Legea nr. 59/2020</w:t>
              </w:r>
            </w:hyperlink>
            <w:r>
              <w:rPr>
                <w:rFonts w:ascii="Times New Roman" w:hAnsi="Times New Roman"/>
                <w:color w:val="auto"/>
                <w:sz w:val="26"/>
                <w:szCs w:val="26"/>
                <w:lang w:val="zxx" w:eastAsia="zxx" w:bidi="zxx"/>
              </w:rPr>
              <w:t xml:space="preserve">, și/sau de prevederile </w:t>
            </w:r>
            <w:hyperlink r:id="rId9">
              <w:r>
                <w:rPr>
                  <w:rStyle w:val="InternetLink"/>
                  <w:rFonts w:ascii="Times New Roman" w:hAnsi="Times New Roman"/>
                  <w:strike w:val="false"/>
                  <w:dstrike w:val="false"/>
                  <w:color w:val="auto"/>
                  <w:sz w:val="26"/>
                  <w:szCs w:val="26"/>
                  <w:u w:val="none"/>
                  <w:effect w:val="none"/>
                  <w:lang w:val="zxx" w:eastAsia="zxx" w:bidi="zxx"/>
                </w:rPr>
                <w:t>art. 3 din Ordonanța de urgență a Guvernului nr. 132/2020</w:t>
              </w:r>
            </w:hyperlink>
            <w:r>
              <w:rPr>
                <w:rFonts w:ascii="Times New Roman" w:hAnsi="Times New Roman"/>
                <w:color w:val="auto"/>
                <w:sz w:val="26"/>
                <w:szCs w:val="26"/>
                <w:lang w:val="zxx" w:eastAsia="zxx" w:bidi="zxx"/>
              </w:rPr>
              <w:t xml:space="preserve">, aprobată cu modificări și completări prin </w:t>
            </w:r>
            <w:hyperlink r:id="rId10">
              <w:r>
                <w:rPr>
                  <w:rStyle w:val="InternetLink"/>
                  <w:rFonts w:ascii="Times New Roman" w:hAnsi="Times New Roman"/>
                  <w:strike w:val="false"/>
                  <w:dstrike w:val="false"/>
                  <w:color w:val="auto"/>
                  <w:sz w:val="26"/>
                  <w:szCs w:val="26"/>
                  <w:u w:val="none"/>
                  <w:effect w:val="none"/>
                  <w:lang w:val="zxx" w:eastAsia="zxx" w:bidi="zxx"/>
                </w:rPr>
                <w:t>Legea nr. 282/2020</w:t>
              </w:r>
            </w:hyperlink>
            <w:r>
              <w:rPr>
                <w:rFonts w:ascii="Times New Roman" w:hAnsi="Times New Roman"/>
                <w:color w:val="auto"/>
                <w:sz w:val="26"/>
                <w:szCs w:val="26"/>
                <w:lang w:val="zxx" w:eastAsia="zxx" w:bidi="zxx"/>
              </w:rPr>
              <w:t>, cu modificările și completările ulterioare</w:t>
            </w:r>
          </w:p>
        </w:tc>
        <w:tc>
          <w:tcPr>
            <w:tcW w:w="53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rPr>
                <w:rFonts w:ascii="Times New Roman" w:hAnsi="Times New Roman"/>
                <w:color w:val="auto"/>
                <w:sz w:val="26"/>
                <w:szCs w:val="26"/>
                <w:lang w:val="zxx" w:eastAsia="zxx" w:bidi="zxx"/>
              </w:rPr>
            </w:pPr>
            <w:r>
              <w:rPr>
                <w:rFonts w:ascii="Times New Roman" w:hAnsi="Times New Roman"/>
                <w:color w:val="auto"/>
                <w:sz w:val="26"/>
                <w:szCs w:val="26"/>
                <w:lang w:val="zxx" w:eastAsia="zxx" w:bidi="zxx"/>
              </w:rPr>
              <w:t>23</w:t>
            </w:r>
          </w:p>
        </w:tc>
      </w:tr>
    </w:tbl>
    <w:p>
      <w:pPr>
        <w:pStyle w:val="Normal"/>
        <w:rPr>
          <w:rFonts w:ascii="Times New Roman" w:hAnsi="Times New Roman"/>
          <w:color w:val="auto"/>
          <w:sz w:val="26"/>
          <w:szCs w:val="26"/>
          <w:lang w:val="zxx" w:eastAsia="zxx" w:bidi="zxx"/>
        </w:rPr>
      </w:pPr>
      <w:r>
        <w:rPr>
          <w:rFonts w:ascii="Times New Roman" w:hAnsi="Times New Roman"/>
          <w:color w:val="auto"/>
          <w:sz w:val="26"/>
          <w:szCs w:val="26"/>
          <w:lang w:val="zxx" w:eastAsia="zxx" w:bidi="zxx"/>
        </w:rPr>
      </w:r>
    </w:p>
    <w:p>
      <w:pPr>
        <w:pStyle w:val="Normal"/>
        <w:rPr>
          <w:rFonts w:ascii="Times New Roman" w:hAnsi="Times New Roman"/>
          <w:color w:val="auto"/>
          <w:sz w:val="26"/>
          <w:szCs w:val="26"/>
          <w:lang w:val="zxx" w:eastAsia="zxx" w:bidi="zxx"/>
        </w:rPr>
      </w:pPr>
      <w:r>
        <w:rPr>
          <w:rFonts w:ascii="Times New Roman" w:hAnsi="Times New Roman"/>
          <w:color w:val="auto"/>
          <w:sz w:val="26"/>
          <w:szCs w:val="26"/>
          <w:lang w:val="zxx" w:eastAsia="zxx" w:bidi="zxx"/>
        </w:rPr>
      </w:r>
    </w:p>
    <w:p>
      <w:pPr>
        <w:pStyle w:val="Normal"/>
        <w:rPr>
          <w:rFonts w:ascii="Times New Roman" w:hAnsi="Times New Roman"/>
          <w:color w:val="auto"/>
          <w:sz w:val="26"/>
          <w:szCs w:val="26"/>
          <w:lang w:val="zxx" w:eastAsia="zxx" w:bidi="zxx"/>
        </w:rPr>
      </w:pPr>
      <w:r>
        <w:rPr>
          <w:rFonts w:ascii="Times New Roman" w:hAnsi="Times New Roman"/>
          <w:color w:val="auto"/>
          <w:sz w:val="26"/>
          <w:szCs w:val="26"/>
          <w:lang w:val="zxx" w:eastAsia="zxx" w:bidi="zxx"/>
        </w:rPr>
      </w:r>
    </w:p>
    <w:p>
      <w:pPr>
        <w:pStyle w:val="Normal"/>
        <w:rPr>
          <w:rFonts w:ascii="Times New Roman" w:hAnsi="Times New Roman"/>
          <w:color w:val="auto"/>
          <w:sz w:val="26"/>
          <w:szCs w:val="26"/>
          <w:lang w:val="zxx" w:eastAsia="zxx" w:bidi="zxx"/>
        </w:rPr>
      </w:pPr>
      <w:r>
        <w:rPr>
          <w:rFonts w:ascii="Times New Roman" w:hAnsi="Times New Roman"/>
          <w:color w:val="auto"/>
          <w:sz w:val="26"/>
          <w:szCs w:val="26"/>
          <w:lang w:val="zxx" w:eastAsia="zxx" w:bidi="zxx"/>
        </w:rPr>
      </w:r>
    </w:p>
    <w:p>
      <w:pPr>
        <w:pStyle w:val="Normal"/>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t>ANEXA Nr. 2</w:t>
      </w:r>
      <w:r>
        <w:rPr>
          <w:rFonts w:ascii="Times New Roman" w:hAnsi="Times New Roman"/>
          <w:color w:val="auto"/>
          <w:sz w:val="24"/>
          <w:szCs w:val="24"/>
          <w:lang w:val="zxx" w:eastAsia="zxx" w:bidi="zxx"/>
        </w:rPr>
        <w:t>^</w:t>
      </w:r>
      <w:r>
        <w:rPr>
          <w:rFonts w:ascii="Times New Roman" w:hAnsi="Times New Roman"/>
          <w:color w:val="auto"/>
          <w:sz w:val="24"/>
          <w:szCs w:val="24"/>
          <w:lang w:val="zxx" w:eastAsia="zxx" w:bidi="zxx"/>
        </w:rPr>
        <w:t>1) (Anexa nr. 2 la normele metodologice</w:t>
      </w:r>
      <w:r>
        <w:rPr>
          <w:rFonts w:ascii="Times New Roman" w:hAnsi="Times New Roman"/>
          <w:color w:val="auto"/>
          <w:sz w:val="24"/>
          <w:szCs w:val="24"/>
          <w:lang w:val="zxx" w:eastAsia="zxx" w:bidi="zxx"/>
        </w:rPr>
        <w:t>)</w:t>
      </w:r>
    </w:p>
    <w:p>
      <w:pPr>
        <w:pStyle w:val="Normal"/>
        <w:rPr>
          <w:rFonts w:ascii="Times New Roman" w:hAnsi="Times New Roman"/>
          <w:color w:val="auto"/>
          <w:sz w:val="24"/>
          <w:szCs w:val="24"/>
          <w:lang w:val="zxx" w:eastAsia="zxx" w:bidi="zxx"/>
        </w:rPr>
      </w:pPr>
      <w:r>
        <w:rPr>
          <w:rFonts w:ascii="Times New Roman" w:hAnsi="Times New Roman"/>
          <w:color w:val="auto"/>
          <w:sz w:val="24"/>
          <w:szCs w:val="24"/>
          <w:lang w:val="zxx" w:eastAsia="zxx" w:bidi="zxx"/>
        </w:rPr>
      </w:r>
    </w:p>
    <w:p>
      <w:pPr>
        <w:pStyle w:val="Normal"/>
        <w:widowControl/>
        <w:ind w:left="0" w:right="0" w:hanging="0"/>
        <w:jc w:val="left"/>
        <w:rPr>
          <w:rFonts w:ascii="Times New Roman" w:hAnsi="Times New Roman"/>
          <w:color w:val="auto"/>
          <w:sz w:val="24"/>
          <w:szCs w:val="24"/>
          <w:lang w:val="zxx" w:eastAsia="zxx" w:bidi="zxx"/>
        </w:rPr>
      </w:pPr>
      <w:r>
        <w:rPr>
          <w:rFonts w:ascii="Times New Roman" w:hAnsi="Times New Roman"/>
          <w:b w:val="false"/>
          <w:i w:val="false"/>
          <w:caps w:val="false"/>
          <w:smallCaps w:val="false"/>
          <w:color w:val="auto"/>
          <w:spacing w:val="0"/>
          <w:sz w:val="24"/>
          <w:szCs w:val="24"/>
          <w:lang w:val="zxx" w:eastAsia="zxx" w:bidi="zxx"/>
        </w:rPr>
        <w:t>^1) Anexa este reprodusă în facsimil.</w:t>
      </w:r>
    </w:p>
    <w:p>
      <w:pPr>
        <w:pStyle w:val="Normal"/>
        <w:widowControl/>
        <w:ind w:left="0" w:right="0" w:hanging="0"/>
        <w:jc w:val="left"/>
        <w:rPr>
          <w:b w:val="false"/>
          <w:i w:val="false"/>
          <w:caps w:val="false"/>
          <w:smallCaps w:val="false"/>
          <w:spacing w:val="0"/>
        </w:rPr>
      </w:pPr>
      <w:r>
        <w:rPr>
          <w:rFonts w:ascii="Times New Roman" w:hAnsi="Times New Roman"/>
          <w:color w:val="auto"/>
          <w:sz w:val="26"/>
          <w:szCs w:val="26"/>
          <w:lang w:val="zxx" w:eastAsia="zxx" w:bidi="zxx"/>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332220" cy="783082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1"/>
                    <a:stretch>
                      <a:fillRect/>
                    </a:stretch>
                  </pic:blipFill>
                  <pic:spPr bwMode="auto">
                    <a:xfrm>
                      <a:off x="0" y="0"/>
                      <a:ext cx="6332220" cy="7830820"/>
                    </a:xfrm>
                    <a:prstGeom prst="rect">
                      <a:avLst/>
                    </a:prstGeom>
                  </pic:spPr>
                </pic:pic>
              </a:graphicData>
            </a:graphic>
          </wp:anchor>
        </w:drawing>
      </w:r>
    </w:p>
    <w:p>
      <w:pPr>
        <w:pStyle w:val="Normal"/>
        <w:widowControl/>
        <w:ind w:left="0" w:right="0" w:hanging="0"/>
        <w:jc w:val="left"/>
        <w:rPr>
          <w:rFonts w:ascii="Times New Roman" w:hAnsi="Times New Roman"/>
          <w:color w:val="auto"/>
          <w:sz w:val="26"/>
          <w:szCs w:val="26"/>
          <w:lang w:val="zxx" w:eastAsia="zxx" w:bidi="zxx"/>
        </w:rPr>
      </w:pPr>
      <w:r>
        <w:rPr>
          <w:rFonts w:ascii="Times New Roman" w:hAnsi="Times New Roman"/>
          <w:color w:val="auto"/>
          <w:sz w:val="26"/>
          <w:szCs w:val="26"/>
          <w:lang w:val="zxx" w:eastAsia="zxx" w:bidi="zxx"/>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6332220" cy="827468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12"/>
                    <a:stretch>
                      <a:fillRect/>
                    </a:stretch>
                  </pic:blipFill>
                  <pic:spPr bwMode="auto">
                    <a:xfrm>
                      <a:off x="0" y="0"/>
                      <a:ext cx="6332220" cy="8274685"/>
                    </a:xfrm>
                    <a:prstGeom prst="rect">
                      <a:avLst/>
                    </a:prstGeom>
                  </pic:spPr>
                </pic:pic>
              </a:graphicData>
            </a:graphic>
          </wp:anchor>
        </w:drawing>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egislatie.just.ro/Public/DetaliiDocumentAfis/231368" TargetMode="External"/><Relationship Id="rId3" Type="http://schemas.openxmlformats.org/officeDocument/2006/relationships/hyperlink" Target="http://legislatie.just.ro/Public/DetaliiDocumentAfis/76513" TargetMode="External"/><Relationship Id="rId4" Type="http://schemas.openxmlformats.org/officeDocument/2006/relationships/hyperlink" Target="http://legislatie.just.ro/Public/DetaliiDocumentAfis/202892" TargetMode="External"/><Relationship Id="rId5" Type="http://schemas.openxmlformats.org/officeDocument/2006/relationships/hyperlink" Target="http://legislatie.just.ro/Public/DetaliiDocumentAfis/241505" TargetMode="External"/><Relationship Id="rId6" Type="http://schemas.openxmlformats.org/officeDocument/2006/relationships/hyperlink" Target="http://legislatie.just.ro/Public/DetaliiDocumentAfis/234891" TargetMode="External"/><Relationship Id="rId7" Type="http://schemas.openxmlformats.org/officeDocument/2006/relationships/hyperlink" Target="http://legislatie.just.ro/Public/DetaliiDocumentAfis/234891" TargetMode="External"/><Relationship Id="rId8" Type="http://schemas.openxmlformats.org/officeDocument/2006/relationships/hyperlink" Target="http://legislatie.just.ro/Public/DetaliiDocumentAfis/225906" TargetMode="External"/><Relationship Id="rId9" Type="http://schemas.openxmlformats.org/officeDocument/2006/relationships/hyperlink" Target="http://legislatie.just.ro/Public/DetaliiDocumentAfis/239597" TargetMode="External"/><Relationship Id="rId10" Type="http://schemas.openxmlformats.org/officeDocument/2006/relationships/hyperlink" Target="http://legislatie.just.ro/Public/DetaliiDocumentAfis/234455" TargetMode="Externa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LibreOffice/6.2.4.2$Windows_X86_64 LibreOffice_project/2412653d852ce75f65fbfa83fb7e7b669a126d64</Application>
  <Pages>4</Pages>
  <Words>848</Words>
  <Characters>5047</Characters>
  <CharactersWithSpaces>5846</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2021-05-19T11:04:32Z</dcterms:created>
  <dc:creator/>
  <dc:description/>
  <dc:language>en-US</dc:language>
  <cp:lastModifiedBy/>
  <dcterms:modified xsi:type="dcterms:W3CDTF">2021-05-19T11:16:00Z</dcterms:modified>
  <cp:revision>1</cp:revision>
  <dc:subject/>
  <dc:title/>
</cp:coreProperties>
</file>